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 w:themeColor="text1"/>
          <w:sz w:val="32"/>
          <w:szCs w:val="32"/>
        </w:rPr>
        <w:t>附件</w:t>
      </w:r>
    </w:p>
    <w:p>
      <w:pPr>
        <w:spacing w:line="52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</w:rPr>
        <w:t>江苏省国家机关“谁执法谁普法”普法责任制落实评估标准</w:t>
      </w:r>
    </w:p>
    <w:tbl>
      <w:tblPr>
        <w:tblStyle w:val="6"/>
        <w:tblW w:w="918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3934"/>
        <w:gridCol w:w="2552"/>
        <w:gridCol w:w="127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19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宋体"/>
                <w:color w:val="000000" w:themeColor="text1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32"/>
                <w:szCs w:val="32"/>
              </w:rPr>
              <w:t>项目</w:t>
            </w:r>
          </w:p>
          <w:p>
            <w:pPr>
              <w:spacing w:line="360" w:lineRule="exact"/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32"/>
                <w:szCs w:val="32"/>
              </w:rPr>
              <w:t>分值</w:t>
            </w:r>
          </w:p>
        </w:tc>
        <w:tc>
          <w:tcPr>
            <w:tcW w:w="393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32"/>
                <w:szCs w:val="32"/>
              </w:rPr>
              <w:t>评估内容</w:t>
            </w:r>
          </w:p>
        </w:tc>
        <w:tc>
          <w:tcPr>
            <w:tcW w:w="255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32"/>
                <w:szCs w:val="32"/>
              </w:rPr>
              <w:t>评估依据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000000" w:themeColor="text1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</w:rPr>
              <w:t>得分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41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0"/>
                <w:szCs w:val="30"/>
              </w:rPr>
              <w:t>普法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0"/>
                <w:szCs w:val="30"/>
              </w:rPr>
              <w:t>责任制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0"/>
                <w:szCs w:val="30"/>
              </w:rPr>
              <w:t>建设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0"/>
                <w:szCs w:val="30"/>
              </w:rPr>
              <w:t>(15分)</w:t>
            </w:r>
          </w:p>
        </w:tc>
        <w:tc>
          <w:tcPr>
            <w:tcW w:w="3934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1.将普法工作纳入本部门总体工作布局（2分），确定具体负责人和联络员（2分）,拨付一定专项工作经费（3分）。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提供相关文件通知、制度规范。</w:t>
            </w:r>
          </w:p>
        </w:tc>
        <w:tc>
          <w:tcPr>
            <w:tcW w:w="1275" w:type="dxa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41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934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2.及时制定本年度普法工作计划方案（2分）、联动事项（2分），撰写工作总结（2分），及时报同级法治宣传教育工作主管部门（2分）。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提供部门普法责任清单、相关工作台账、公告公示以及文件通知。</w:t>
            </w:r>
          </w:p>
        </w:tc>
        <w:tc>
          <w:tcPr>
            <w:tcW w:w="1275" w:type="dxa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41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0"/>
                <w:szCs w:val="30"/>
              </w:rPr>
              <w:t>系统内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0"/>
                <w:szCs w:val="30"/>
              </w:rPr>
              <w:t>普法及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0"/>
                <w:szCs w:val="30"/>
              </w:rPr>
              <w:t>实践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0"/>
                <w:szCs w:val="30"/>
              </w:rPr>
              <w:t>(20分)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934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3.建立健全国家机关党组（党委）理论中心组学法制度（3分），每年集中学法不少于2次（4分）。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提供专题讲座学法记录或相关简报、图片、视频。</w:t>
            </w:r>
          </w:p>
        </w:tc>
        <w:tc>
          <w:tcPr>
            <w:tcW w:w="1275" w:type="dxa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141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934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4.建立本单位国家工作人员法律知识考试或考核制度（3分），开展多种形式的法律法规业务培训（3分）。年度组织国家工作人员旁听庭审1次以上（3分）。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提供相关记录或简报、图片、视频。</w:t>
            </w:r>
          </w:p>
        </w:tc>
        <w:tc>
          <w:tcPr>
            <w:tcW w:w="1275" w:type="dxa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</w:trPr>
        <w:tc>
          <w:tcPr>
            <w:tcW w:w="141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934" w:type="dxa"/>
            <w:vAlign w:val="center"/>
          </w:tcPr>
          <w:p>
            <w:pPr>
              <w:widowControl/>
              <w:shd w:val="clear" w:color="auto" w:fill="FFFFFF"/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5.组织</w:t>
            </w:r>
            <w:r>
              <w:rPr>
                <w:rFonts w:hint="eastAsia" w:ascii="仿宋_GB2312" w:hAnsi="仿宋" w:eastAsia="仿宋_GB2312" w:cs="Times New Roman"/>
                <w:color w:val="000000" w:themeColor="text1"/>
                <w:sz w:val="24"/>
                <w:szCs w:val="24"/>
              </w:rPr>
              <w:t>开展机关（单位）法治文化建设等活动，营造良好的机关单位学法氛围。（4分）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提供相关制度文件或简报、图片、视频。</w:t>
            </w:r>
          </w:p>
        </w:tc>
        <w:tc>
          <w:tcPr>
            <w:tcW w:w="1275" w:type="dxa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0"/>
                <w:szCs w:val="30"/>
              </w:rPr>
              <w:t>推动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0"/>
                <w:szCs w:val="30"/>
              </w:rPr>
              <w:t>社会面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0"/>
                <w:szCs w:val="30"/>
              </w:rPr>
              <w:t>普法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0"/>
                <w:szCs w:val="30"/>
              </w:rPr>
              <w:t>(50分)</w:t>
            </w:r>
          </w:p>
        </w:tc>
        <w:tc>
          <w:tcPr>
            <w:tcW w:w="3934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6.加强</w:t>
            </w:r>
            <w:r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  <w:t>典型案例的收集、整理、发布（2分），建立以案释法长效机制（3分）</w:t>
            </w: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。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提供相关制度规范。</w:t>
            </w:r>
          </w:p>
        </w:tc>
        <w:tc>
          <w:tcPr>
            <w:tcW w:w="1275" w:type="dxa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41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934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7.依托本部门本单位的网站、微博、微信、客户端开展普法宣传（15分）。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提供相关资料。</w:t>
            </w:r>
          </w:p>
        </w:tc>
        <w:tc>
          <w:tcPr>
            <w:tcW w:w="1275" w:type="dxa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41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934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8.积极主动利用颁布实施纪念日、修订日等重要节点宣传法律法规（15分）。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提供相关文件或活动简报、图片、视频。</w:t>
            </w:r>
          </w:p>
        </w:tc>
        <w:tc>
          <w:tcPr>
            <w:tcW w:w="1275" w:type="dxa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934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9.组织开展“12</w:t>
            </w:r>
            <w:r>
              <w:rPr>
                <w:rFonts w:hint="eastAsia" w:ascii="仿宋_GB2312" w:hAnsi="宋体" w:eastAsia="宋体" w:cs="宋体"/>
                <w:color w:val="000000" w:themeColor="text1"/>
                <w:sz w:val="24"/>
                <w:szCs w:val="24"/>
              </w:rPr>
              <w:t>•</w:t>
            </w: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4”国家宪法日活动（15分）。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提供相关文件或活动简报、图片、视频。</w:t>
            </w:r>
          </w:p>
        </w:tc>
        <w:tc>
          <w:tcPr>
            <w:tcW w:w="1275" w:type="dxa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0"/>
                <w:szCs w:val="30"/>
              </w:rPr>
              <w:t>创新创优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0"/>
                <w:szCs w:val="30"/>
              </w:rPr>
              <w:t>(15分)</w:t>
            </w:r>
          </w:p>
        </w:tc>
        <w:tc>
          <w:tcPr>
            <w:tcW w:w="3934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10.依托报刊、广播、电视等大众媒体开展普法活动（6分）。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提供工作记录。</w:t>
            </w:r>
          </w:p>
        </w:tc>
        <w:tc>
          <w:tcPr>
            <w:tcW w:w="1275" w:type="dxa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1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934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11.组织开展学法竞赛、建设学法平台、编写普法教材（3分）。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提供相关资料。</w:t>
            </w:r>
          </w:p>
        </w:tc>
        <w:tc>
          <w:tcPr>
            <w:tcW w:w="1275" w:type="dxa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1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934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12.建立普法志愿者队伍（3分）。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提供志愿服务记录。</w:t>
            </w:r>
          </w:p>
        </w:tc>
        <w:tc>
          <w:tcPr>
            <w:tcW w:w="1275" w:type="dxa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41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934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13.本单位普法工作受到上级表彰、表扬(含批示)，被上级主要媒体宣传推广（3分）。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sz w:val="24"/>
                <w:szCs w:val="24"/>
              </w:rPr>
              <w:t>提供相关资料。</w:t>
            </w:r>
          </w:p>
        </w:tc>
        <w:tc>
          <w:tcPr>
            <w:tcW w:w="1275" w:type="dxa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</w:p>
        </w:tc>
      </w:tr>
    </w:tbl>
    <w:p>
      <w:pPr>
        <w:spacing w:line="360" w:lineRule="exact"/>
        <w:ind w:firstLine="480" w:firstLineChars="200"/>
        <w:rPr>
          <w:rFonts w:ascii="黑体" w:hAnsi="黑体" w:eastAsia="黑体"/>
          <w:color w:val="000000" w:themeColor="text1"/>
          <w:sz w:val="24"/>
          <w:szCs w:val="24"/>
        </w:rPr>
      </w:pPr>
    </w:p>
    <w:p>
      <w:pPr>
        <w:spacing w:line="360" w:lineRule="exact"/>
        <w:ind w:firstLine="480" w:firstLineChars="200"/>
        <w:rPr>
          <w:rFonts w:ascii="黑体" w:hAnsi="黑体" w:eastAsia="黑体"/>
          <w:color w:val="000000" w:themeColor="text1"/>
          <w:sz w:val="24"/>
          <w:szCs w:val="24"/>
        </w:rPr>
      </w:pPr>
      <w:r>
        <w:rPr>
          <w:rFonts w:hint="eastAsia" w:ascii="黑体" w:hAnsi="黑体" w:eastAsia="黑体"/>
          <w:color w:val="000000" w:themeColor="text1"/>
          <w:sz w:val="24"/>
          <w:szCs w:val="24"/>
        </w:rPr>
        <w:t>备注：</w:t>
      </w:r>
    </w:p>
    <w:p>
      <w:pPr>
        <w:spacing w:line="360" w:lineRule="exact"/>
        <w:ind w:firstLine="480" w:firstLineChars="200"/>
        <w:rPr>
          <w:rFonts w:ascii="仿宋_GB2312" w:hAnsi="仿宋" w:eastAsia="仿宋_GB2312"/>
          <w:color w:val="000000" w:themeColor="text1"/>
          <w:sz w:val="24"/>
          <w:szCs w:val="24"/>
        </w:rPr>
      </w:pPr>
      <w:r>
        <w:rPr>
          <w:rFonts w:hint="eastAsia" w:ascii="仿宋_GB2312" w:hAnsi="仿宋" w:eastAsia="仿宋_GB2312"/>
          <w:color w:val="000000" w:themeColor="text1"/>
          <w:sz w:val="24"/>
          <w:szCs w:val="24"/>
        </w:rPr>
        <w:t>1.以100分计，90分以上为优秀，75分至89分为良好，60分至74分为合格，59分以下为不合格；</w:t>
      </w:r>
    </w:p>
    <w:p>
      <w:pPr>
        <w:spacing w:line="360" w:lineRule="exact"/>
        <w:ind w:firstLine="480" w:firstLineChars="200"/>
        <w:rPr>
          <w:rFonts w:ascii="仿宋_GB2312" w:hAnsi="仿宋" w:eastAsia="仿宋_GB2312"/>
          <w:color w:val="000000" w:themeColor="text1"/>
          <w:sz w:val="24"/>
          <w:szCs w:val="24"/>
        </w:rPr>
      </w:pPr>
      <w:r>
        <w:rPr>
          <w:rFonts w:hint="eastAsia" w:ascii="仿宋_GB2312" w:hAnsi="仿宋" w:eastAsia="仿宋_GB2312"/>
          <w:color w:val="000000" w:themeColor="text1"/>
          <w:sz w:val="24"/>
          <w:szCs w:val="24"/>
        </w:rPr>
        <w:t>2.减分时，单项分值减完为止；</w:t>
      </w:r>
    </w:p>
    <w:p>
      <w:pPr>
        <w:spacing w:line="360" w:lineRule="exact"/>
        <w:ind w:firstLine="480" w:firstLineChars="200"/>
        <w:rPr>
          <w:rFonts w:ascii="仿宋_GB2312" w:hAnsi="仿宋" w:eastAsia="仿宋_GB2312"/>
          <w:color w:val="000000" w:themeColor="text1"/>
          <w:sz w:val="24"/>
          <w:szCs w:val="24"/>
        </w:rPr>
      </w:pPr>
      <w:r>
        <w:rPr>
          <w:rFonts w:hint="eastAsia" w:ascii="仿宋_GB2312" w:hAnsi="仿宋" w:eastAsia="仿宋_GB2312"/>
          <w:color w:val="000000" w:themeColor="text1"/>
          <w:sz w:val="24"/>
          <w:szCs w:val="24"/>
        </w:rPr>
        <w:t>3.“不少于”“以上”“以下”等均包含本数。</w:t>
      </w:r>
    </w:p>
    <w:p>
      <w:pPr>
        <w:spacing w:line="600" w:lineRule="exact"/>
        <w:rPr>
          <w:color w:val="000000" w:themeColor="text1"/>
        </w:rPr>
      </w:pPr>
    </w:p>
    <w:sectPr>
      <w:footerReference r:id="rId3" w:type="default"/>
      <w:pgSz w:w="11906" w:h="16838"/>
      <w:pgMar w:top="187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973845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68F6"/>
    <w:rsid w:val="00047469"/>
    <w:rsid w:val="000D5EB2"/>
    <w:rsid w:val="001710A4"/>
    <w:rsid w:val="00171BBC"/>
    <w:rsid w:val="001A4AF5"/>
    <w:rsid w:val="001A6F86"/>
    <w:rsid w:val="001B6DF0"/>
    <w:rsid w:val="001F41F6"/>
    <w:rsid w:val="00213652"/>
    <w:rsid w:val="00214246"/>
    <w:rsid w:val="0024457F"/>
    <w:rsid w:val="00252952"/>
    <w:rsid w:val="002756F0"/>
    <w:rsid w:val="00293F0F"/>
    <w:rsid w:val="0029663F"/>
    <w:rsid w:val="002D72F5"/>
    <w:rsid w:val="00337474"/>
    <w:rsid w:val="00356191"/>
    <w:rsid w:val="00373F5E"/>
    <w:rsid w:val="00377CBA"/>
    <w:rsid w:val="004F0051"/>
    <w:rsid w:val="006237ED"/>
    <w:rsid w:val="0063129C"/>
    <w:rsid w:val="00670828"/>
    <w:rsid w:val="007326D2"/>
    <w:rsid w:val="007E6DE4"/>
    <w:rsid w:val="007F149B"/>
    <w:rsid w:val="0080128B"/>
    <w:rsid w:val="008168F6"/>
    <w:rsid w:val="008328AA"/>
    <w:rsid w:val="008F0DDF"/>
    <w:rsid w:val="00946F66"/>
    <w:rsid w:val="0099078F"/>
    <w:rsid w:val="00993FB7"/>
    <w:rsid w:val="00A07819"/>
    <w:rsid w:val="00A446DF"/>
    <w:rsid w:val="00B23798"/>
    <w:rsid w:val="00CA6F24"/>
    <w:rsid w:val="00D362F7"/>
    <w:rsid w:val="00D41DC2"/>
    <w:rsid w:val="00E45E10"/>
    <w:rsid w:val="00E972A6"/>
    <w:rsid w:val="00ED452C"/>
    <w:rsid w:val="00F06EC8"/>
    <w:rsid w:val="00F46923"/>
    <w:rsid w:val="00F51B06"/>
    <w:rsid w:val="00F54C43"/>
    <w:rsid w:val="00F77DF0"/>
    <w:rsid w:val="00FC37E8"/>
    <w:rsid w:val="6E93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59A087-4E4C-4710-94A8-3893FB3C6D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411</Words>
  <Characters>2344</Characters>
  <Lines>19</Lines>
  <Paragraphs>5</Paragraphs>
  <TotalTime>24</TotalTime>
  <ScaleCrop>false</ScaleCrop>
  <LinksUpToDate>false</LinksUpToDate>
  <CharactersWithSpaces>2750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2020-05-09T07:41:00Z</dcterms:created>
  <dc:creator>sft</dc:creator>
  <cp:lastModifiedBy>任虹是鱼不是愚</cp:lastModifiedBy>
  <cp:lastPrinted>2020-05-15T07:08:00Z</cp:lastPrinted>
  <dcterms:modified xsi:type="dcterms:W3CDTF">2020-06-08T08:10:37Z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